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Theme="majorEastAsia" w:hAnsiTheme="majorEastAsia" w:eastAsiaTheme="majorEastAsia" w:cstheme="majorEastAsia"/>
          <w:b/>
          <w:i w:val="0"/>
          <w:caps w:val="0"/>
          <w:color w:val="333333"/>
          <w:spacing w:val="0"/>
          <w:sz w:val="28"/>
          <w:szCs w:val="28"/>
          <w:shd w:val="clear" w:fill="FFFFFF"/>
        </w:rPr>
      </w:pPr>
      <w:bookmarkStart w:id="0" w:name="_GoBack"/>
      <w:r>
        <w:rPr>
          <w:rStyle w:val="4"/>
          <w:rFonts w:hint="eastAsia" w:asciiTheme="majorEastAsia" w:hAnsiTheme="majorEastAsia" w:eastAsiaTheme="majorEastAsia" w:cstheme="majorEastAsia"/>
          <w:b/>
          <w:i w:val="0"/>
          <w:caps w:val="0"/>
          <w:color w:val="333333"/>
          <w:spacing w:val="0"/>
          <w:sz w:val="28"/>
          <w:szCs w:val="28"/>
          <w:shd w:val="clear" w:fill="FFFFFF"/>
        </w:rPr>
        <w:t>海运固体散装货物安全监督管理规定</w:t>
      </w:r>
      <w:bookmarkEnd w:id="0"/>
    </w:p>
    <w:p>
      <w:pPr>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pPr>
      <w:r>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t>题注：</w:t>
      </w:r>
    </w:p>
    <w:p>
      <w:pPr>
        <w:rPr>
          <w:rFonts w:hint="eastAsia" w:asciiTheme="minorEastAsia" w:hAnsiTheme="minorEastAsia" w:eastAsiaTheme="minorEastAsia" w:cstheme="minorEastAsia"/>
          <w:b w:val="0"/>
          <w:bCs/>
          <w:i w:val="0"/>
          <w:caps w:val="0"/>
          <w:color w:val="323232"/>
          <w:spacing w:val="0"/>
          <w:sz w:val="24"/>
          <w:szCs w:val="24"/>
          <w:shd w:val="clear" w:fill="FFFFFF"/>
        </w:rPr>
      </w:pPr>
      <w:r>
        <w:rPr>
          <w:rFonts w:hint="eastAsia" w:asciiTheme="minorEastAsia" w:hAnsiTheme="minorEastAsia" w:eastAsiaTheme="minorEastAsia" w:cstheme="minorEastAsia"/>
          <w:b w:val="0"/>
          <w:bCs/>
          <w:i w:val="0"/>
          <w:caps w:val="0"/>
          <w:color w:val="323232"/>
          <w:spacing w:val="0"/>
          <w:sz w:val="24"/>
          <w:szCs w:val="24"/>
          <w:shd w:val="clear" w:fill="FFFFFF"/>
        </w:rPr>
        <w:t>2019年1月16日经交通运输部第2次部务会议通过，自2019年3月1日起施行。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第一条 为了加强海运固体散装货物监督管理，保障海上人命、财产安全，依据《中华人民共和国海上交通安全法》《中华人民共和国港口法》等法律，制定本规定。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第二条 船舶在中华人民共和国管辖海域内从事载运固体散装货物，适用本规定。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第三条 交通运输部主管全国海运固体散装货物的安全管理工作。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国家海事管理机构按照职责负责全国海运固体散装货物的安全监督管理工作。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其他各级海事管理机构按照各自职责权限具体负责海运固体散装货物的安全监督管理工作。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第四条 船舶载运B组固体散装货物的，还应当遵守《船舶载运危险货物安全监督管理规定》。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第二章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第五条 从事固体散装货物运输的船舶所有人、经营人或者管理人，按照交通运输部有关规定建立和实施的船舶安全营运和防污染管理体系或者制度，应当包括载运固体散装货物的程序、须知或者管理制度。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第六条 载运固体散装货物的船舶，其船舶装载手册或者稳性计算书中应当列出所载货物安全适运的典型工况。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第七条 船舶载运固体散装货物，应当符合有关积载、隔离和运输的安全技术规范，并符合相应适装证书或者证明文书的要求。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第八条 船舶所有人、经营人或者管理人应当对船员进行固体散装货物专业知识培训和考核，保证船员熟悉固体散装货物的特性、操作规程及应急预案。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第九条 按照本规定办理报告手续的人员，应当熟悉相关法规、标准规范和报告程序。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第十条 拟交付船舶运输的固体散装货物如果未在《国际海运固体散装货物规则》中列出，其托运人应当提交具有相应资质的检测机构（以下简称检测机构）出具的鉴定材料，明确货物的分组、分类、危险性、污染危害性和船舶载运技术条件后，方可交付船舶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第十一条 对环境有害的固体散装货物，船舶卸货完毕后，货物残余物及其洗舱水应当由港口接收设施或者船舶污染物接收单位接收，禁止排放入水，并按照规定在垃圾记录薄中如实记载。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第三章 报告管理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第十二条 载运B组以外固体散装货物船舶进出港口，应当在进出港口24小时前向海事管理机构报告。航程不足24小时的，应当在驶离上一港口前报告。报告应当包括以下信息内容：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（一）船名、航次、国籍、始发港、卸货港、作业地点、预计进出港口和作业时间等船舶信息；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（二）货物名称、组别、类别、联合国编号、总重量和装载位置等货物信。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第十三条 拟交付船舶运输固体散装货物的托运人，应当在交付运输前向承运人提交以下货物信息，并报告海事管理机构：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（一）固体散装货物安全适运声明书；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（二）属于易流态化固体散装货物的，应当提交检测机构出具的货物适运水分极限和货物水分含量证明；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（三）载运未在《国际海运固体散装货物规则》中列出的货物，应当提交检测机构出具的货物运输条件鉴定材料；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（四）国际航行船舶按照规定需要进出口国家的有关部门批准后方可载运的，应当提交有效的批准文件；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（五）海事管理机构根据《国际海运固体散装货物规则》规定，要求提供的其他证书或者文书。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港口作业委托人应当在固体散装货物装载前，将前款第（一）项至第（三）项的货物信息提供给港口经营人。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第十四条 需要通过检测获得货物信息的，应当由托运人与检测机构共同对货物进行采样。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第十五条 承运人应当对货物信息进行审核，对不符合船舶适装要求的，不得承运。承运期间相关材料、证书或者文书应当保存在船上。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第四章 作业管理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第十六条 载运固体散装货物船舶在装货前，应当按照船舶装载手册或者船舶稳性资料，检查货物的运输资料和适运状况，发现不符合本规定情形的不得装运。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第十七条 从事固体散装货物装卸作业的船舶和港口经营人，应当遵守安全和防污染操作规程，建立并落实船岸安全检查表制度，严格按照船岸安全检查表的要求进行检查和填写。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从事固体散装货物装卸作业的港口经营人，应当指定具有相应专业和履职能力的人员负责对船舶装卸作业进行巡查监督。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港口经营人应当加强作业人员相应专业知识和业务操作能力培训。作业人员在装卸作业期间应当遵守相关安全制度和作业规程。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第十八条 载运固体散装货物船舶和港口经营人应当在固体散装货物装卸作业前以书面形式确定装卸计划，并按照装卸计划进行作业。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发现货物装卸作业与装卸计划不符或者可能存在安全隐患的，载运固体散装货物船舶和港口经营人应当共同进行核实，并采取必要的安全措施。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第十九条 港口经营人应当根据载运固体散装货物船舶提供的配载、积载要求装载货物，进行平舱。装载完毕后，港口经营人应当进行检查并由船长书面确认。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第二十条 船舶应当根据固体散装货物性质合理装载和积载。不相容货物之间应当进行隔离。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船舶载运高密度固体散装货物时，应当在各舱及同一舱内合理分布，避免对船舶结构和强度造成不利影响。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第五章 易流态化固体散装货物的特别规定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第二十一条 易流态化固体散装货物的托运人，应当按照《国际海运固体散装货物规则》的规定，制定并实施货物取样、试验和控制水分含量的程序。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第二十二条 拟交付船舶载运的易流态化固体散装货物，水分含量不得超过其适运水分极限。但是，已经建造或者设置防止货物移动的特殊结构、设备，并持有相应检验证书的中国籍船舶，或者持有相应检验、批准证书的外国籍船舶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第二十三条 拟交付船舶载运的易流态化固体散装货物，其托运人应当提交检测机构出具的含有货物适运水分极限、水分含量等技术指标的检测报告。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适运水分极限的采样和检测应当在货物计划装船前6个月内完成；水分含量的采样和检测应当在货物计划装船前7天内完成。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货物装船前或者装船期间有下列情形之一的，托运人应当重新对货物水分含量进行采样和检测：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（一）因降水等情形可能引起货物水分含量升高或者其他特性变化；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（二）船长有充分理由认为拟装载货物与其水分含量证明不相符。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第二十四条 利用船舶或者码头装卸设施直接转运易流态化固体散装货物，转运作业委托人应当提供货物原有的安全适运声明书、适运水分极限和水分含量证明等资料。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转运作业前，转运作业委托人、承运转运货物船舶应当共同对拟转运货物进行检查，确认货物形态无变化的，方可进行转运作业。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转运作业委托人应当在转运货物船舶离港前，向船舶和海事管理机构提交检测机构对转运货物水分含量的检测报告。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第二十五条 露天储存易流态化固体散装货物，所用堆场应当具备良好的排水功能，并根据天气情况和货物性质采取适当措施，防止货物水分含量增加。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港口经营人装载易流态化固体散装货物的，应当对适运水分极限、水分含量检测报告等货物信息进行核对，经核对无误后方可作业。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港口经营人在作业过程中应当做好作业情况记录，将装卸作业有关信息和单证存档，并自觉接受和配合港口行政管理部门依据职责实施监督管理。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港口经营人在装船前或者装船过程中发现货物不符合规定要求的，应当告知船舶并配合船舶不予装载或者停止装载。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第二十六条 在易流态化固体散装货物装船前，船舶应当检查货物处所舱盖风雨密状况，测试货物处所的污水系统是否工作正常，采取措施防止货物进入舱底污水阱，并做好记录。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第二十七条 易流态化固体散装货物装船期间，遇降水等可能引起货物水分含量升高或者其他特性变化的情形，船舶和港口经营人应当立即采取停止作业、关闭舱盖等安全措施。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第二十八条 载运易流态化固体散装货物船舶，应当根据所载货物的特性和航行区域特点制定货物处所定期巡查计划。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船舶在航行过程中应当按照巡查计划进行定期巡查，并记录巡查情况。发现货物具有流态化趋势或者已经流态化的，应当立即采取应急措施，并向就近的海事管理机构报告。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第六章 人员防护与事故预防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第二十九条 船舶载运可能释放有毒气体、易燃气体或者造成货物处所缺氧的固体散装货物时，应当配备相应的气体测量仪器及其使用说明书，按照规定定期测量货物处所气体浓度，并记录测量结果。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第三十条 船舶载运可能释放有毒气体的固体散装货物时，应当对货物处所提供机械通风或者自然通风。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船舶载运可能释放易燃气体的固体散装货物时，应当对货物处所提供机械通风。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第三十一条 船舶应当制定针对人员进出封闭处所和货物熏蒸处所的安全程序及应急救援措施，在处所入口处设立警示标志。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第三十二条 装载具有毒害性、腐蚀性或者造成货物处所缺氧的固体散装货物时，相关作业人员应当事先经过训练，配备防护设备。紧急情况下需进入货物处所的，应当按照安全程序在船长或者其指定的具有管理职责的船员监督下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第七章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第三十三条海事管理机构发现载运固体散装货物的船舶存在安全隐患的，应当责令立即或者限期消除隐患，不立即消除或者逾期不消除的，采取禁止其进港、离港或者责令其停航、改航、停止作业等措施。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第三十四条 港口行政管理部门应当依据职责对辖区内固体散装货物港口储存、装卸作业实施监督管理。发现港口经营人储存、装卸固体散装货物存在安全隐患的，应当责令立即或者限期消除隐患，不立即消除或者逾期不消除的，采取责令其停止作业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bCs w:val="0"/>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第八章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第三十五条 违反本规定，有下列情形之一的，由海事管理机构责令改正，处1万元以上3万元以下的罚款：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（一）船舶未对不相容货物进行隔离，或者未合理分布高密度固体散装货物的；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（二）船舶未按照规定采取停止作业、关闭舱盖等安全措施的；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（三）船舶未配备气体测量仪器或者未对货物处所气体浓度进行测量的；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（四）船舶未建立并落实船岸安全检查表制度，或者未按照船岸安全检查表的要求进行检查和填写的。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第三十六条 违反本规定，有下列情形之一的，由海事管理机构责令改正，处5000 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（一）船舶在进出港口前未向海事管理机构报告的；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（二）固体散装货物的托运人、转运作业委托人未向承运人、海事管理机构提交货物相关信息的。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第三十七条 违反本规定，有下列情形之一的，由港口行政管理部门责令港口经营人立即纠正或者限期改正：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（一）未根据天气情况和货物性质对易流态化固体散装货物采取适当措施防止货物水分含量增加的；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（二）未根据船舶提供的配载、积载要求装载货物或者进行平舱的。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第三十八条 违反本规定，有下列情形之一的，由港口行政管理部门责令改正，处1万元以上3万元以下的罚款：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（一）港口经营人在装船前或者装船过程中发现货物不符合规定要求，未告知船舶或者停止装载的；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（二）港口经营人在装船过程中遇降水等情形无法保证作业和运输安全时，未停止作业的。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第三十九条 违反本规定，有下列情形之一的，由港口行政管理部门责令改正，处1万元以上3万元以下的罚款：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（一）港口经营人未建立并落实船岸安全检查表制度，或者未按照船岸安全检查表的要求进行检查和填写的；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（二）港口经营人未指定人员在装卸作业期间进行巡查监督的；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（三）港口经营人未对货物信息进行核对的。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第四十条 船舶载运的固体散装货物属于危险化学品并违反本规定的，按照《危险化学品安全管理条例》进行处罚。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第四十一条 海事管理机构、港口行政管理部门的工作人员有滥用职权、拘私舞弊、玩忽职守等严重失职行为的，由其所在单位或者上级机关依法处理；情节严重构成犯罪的，由司法机关依法追究刑事责任。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center"/>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bCs w:val="0"/>
          <w:i w:val="0"/>
          <w:caps w:val="0"/>
          <w:color w:val="333333"/>
          <w:spacing w:val="0"/>
          <w:sz w:val="24"/>
          <w:szCs w:val="24"/>
          <w:bdr w:val="none" w:color="auto" w:sz="0" w:space="0"/>
          <w:shd w:val="clear" w:fill="FFFFFF"/>
        </w:rPr>
        <w:t>第九章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第四十二条 本规定下列用语的含义是：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固体散装货物，是指除谷物以外的，不需包装可直接装入船舶的货物处所，由基本均匀的微粒、颗粒或者较大的块状固体物质组成的货物。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B组固体散装货物，是指在《国际海运固体散装货物规则》附录1“组别”栏中列为B组货物或者同时列入A和B组货物。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典型工况，是指船舶满载出港、满载到港、压载出港、压载到港的基本装载情况。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对环境有害的固体散装货物，是指符合《国际防止船舶造成污染公约》附则V有关对海洋环境有害物质判定标准的固体散装货物。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高密度固体散装货物，是指每吨货物在货舱中正常堆积时所占空间小于或者等于0. 56m3 的固体散装货物。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易流态化固体散装货物，是指含有部分细颗粒和一定量水分的，当水分含量超过适运水分极限时会流态化的固体散装货物。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适运水分极限，是指确保易流态化固体散装货物安全运输的最大水分含量。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555"/>
        <w:jc w:val="left"/>
        <w:rPr>
          <w:rFonts w:hint="eastAsia" w:asciiTheme="minorEastAsia" w:hAnsiTheme="minorEastAsia" w:eastAsiaTheme="minorEastAsia" w:cstheme="minorEastAsia"/>
          <w:b w:val="0"/>
          <w:bCs/>
          <w:i w:val="0"/>
          <w:caps w:val="0"/>
          <w:color w:val="333333"/>
          <w:spacing w:val="0"/>
          <w:sz w:val="24"/>
          <w:szCs w:val="24"/>
        </w:rPr>
      </w:pPr>
      <w:r>
        <w:rPr>
          <w:rFonts w:hint="eastAsia" w:asciiTheme="minorEastAsia" w:hAnsiTheme="minorEastAsia" w:eastAsiaTheme="minorEastAsia" w:cstheme="minorEastAsia"/>
          <w:b w:val="0"/>
          <w:bCs/>
          <w:i w:val="0"/>
          <w:caps w:val="0"/>
          <w:color w:val="333333"/>
          <w:spacing w:val="0"/>
          <w:sz w:val="24"/>
          <w:szCs w:val="24"/>
          <w:bdr w:val="none" w:color="auto" w:sz="0" w:space="0"/>
          <w:shd w:val="clear" w:fill="FFFFFF"/>
        </w:rPr>
        <w:t>第四十二条 本规定自2019 年3月1日起施行。</w:t>
      </w:r>
    </w:p>
    <w:p>
      <w:pPr>
        <w:rPr>
          <w:rFonts w:hint="eastAsia" w:ascii="楷体" w:hAnsi="楷体" w:eastAsia="楷体" w:cs="楷体"/>
          <w:i w:val="0"/>
          <w:caps w:val="0"/>
          <w:color w:val="323232"/>
          <w:spacing w:val="0"/>
          <w:sz w:val="28"/>
          <w:szCs w:val="28"/>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AF62EB"/>
    <w:rsid w:val="5DAF62E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2020-02-20T09:35:00Z</dcterms:created>
  <dc:creator>断桥残雪</dc:creator>
  <cp:lastModifiedBy>断桥残雪</cp:lastModifiedBy>
  <dcterms:modified xsi:type="dcterms:W3CDTF">2020-02-20T09:40:05Z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